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97B5D">
      <w:pPr>
        <w:jc w:val="center"/>
        <w:rPr>
          <w:rFonts w:hint="eastAsia" w:asciiTheme="minorEastAsia" w:hAnsiTheme="minorEastAsia"/>
          <w:b/>
          <w:sz w:val="44"/>
          <w:szCs w:val="44"/>
        </w:rPr>
      </w:pPr>
      <w:r>
        <w:rPr>
          <w:rFonts w:hint="eastAsia" w:asciiTheme="minorEastAsia" w:hAnsiTheme="minorEastAsia"/>
          <w:b/>
          <w:sz w:val="44"/>
          <w:szCs w:val="44"/>
        </w:rPr>
        <w:t>交易风险提示函</w:t>
      </w:r>
    </w:p>
    <w:p w14:paraId="6BE3C198">
      <w:pPr>
        <w:jc w:val="center"/>
        <w:rPr>
          <w:rFonts w:asciiTheme="minorEastAsia" w:hAnsiTheme="minorEastAsia"/>
          <w:sz w:val="24"/>
          <w:szCs w:val="24"/>
        </w:rPr>
      </w:pPr>
      <w:r>
        <w:rPr>
          <w:rFonts w:hint="eastAsia" w:asciiTheme="minorEastAsia" w:hAnsiTheme="minorEastAsia"/>
          <w:sz w:val="24"/>
          <w:szCs w:val="24"/>
        </w:rPr>
        <w:t>（债权类）</w:t>
      </w:r>
    </w:p>
    <w:p w14:paraId="564ACA5A">
      <w:pPr>
        <w:spacing w:line="360" w:lineRule="auto"/>
        <w:rPr>
          <w:rFonts w:asciiTheme="minorEastAsia" w:hAnsiTheme="minorEastAsia"/>
          <w:sz w:val="24"/>
          <w:szCs w:val="24"/>
        </w:rPr>
      </w:pPr>
      <w:r>
        <w:rPr>
          <w:rFonts w:hint="eastAsia" w:asciiTheme="minorEastAsia" w:hAnsiTheme="minorEastAsia"/>
          <w:sz w:val="24"/>
          <w:szCs w:val="24"/>
        </w:rPr>
        <w:t>(特别提示：本风险提示函不能取代投资者本人的投资判断，也不会降低投资者参与贵州阳光产权交易所有限公司各项交易活动的固有风险，由此产生的相应的投资风险、履约责任以及费用由投资者自行承担。)</w:t>
      </w:r>
    </w:p>
    <w:p w14:paraId="3091C413">
      <w:pPr>
        <w:spacing w:line="360" w:lineRule="auto"/>
        <w:rPr>
          <w:rFonts w:asciiTheme="minorEastAsia" w:hAnsiTheme="minorEastAsia"/>
          <w:b/>
          <w:sz w:val="24"/>
          <w:szCs w:val="24"/>
        </w:rPr>
      </w:pPr>
      <w:r>
        <w:rPr>
          <w:rFonts w:hint="eastAsia" w:asciiTheme="minorEastAsia" w:hAnsiTheme="minorEastAsia"/>
          <w:b/>
          <w:sz w:val="24"/>
          <w:szCs w:val="24"/>
        </w:rPr>
        <w:t>尊敬的投资者：</w:t>
      </w:r>
    </w:p>
    <w:p w14:paraId="7CD07C63">
      <w:pPr>
        <w:spacing w:line="360" w:lineRule="auto"/>
        <w:rPr>
          <w:rFonts w:asciiTheme="minorEastAsia" w:hAnsiTheme="minorEastAsia"/>
          <w:sz w:val="24"/>
          <w:szCs w:val="24"/>
        </w:rPr>
      </w:pPr>
      <w:r>
        <w:rPr>
          <w:rFonts w:hint="eastAsia" w:asciiTheme="minorEastAsia" w:hAnsiTheme="minorEastAsia"/>
          <w:sz w:val="24"/>
          <w:szCs w:val="24"/>
        </w:rPr>
        <w:t xml:space="preserve">    您通过贵州阳光产权交易所有限公司（以下简称“产权交易所”）参与交易时，可能会存在因交易、投资带来的收益不确定性风险。本风险提示函旨在让您更好地了解其中的风险，审慎做出交易决策。您在提交受让申请前，请仔细阅读并确保自己理解本风险提示函的全部内容，了解交易规则、项目公告、交易须知等相关文件的规定，并结合自身的投资经验、目标、财务状况、风险承受能力等自行决定是否参与交易。对本风险提示函有不理解的地方请及时咨询产权交易所相关人员。</w:t>
      </w:r>
    </w:p>
    <w:p w14:paraId="4FA0C779">
      <w:pPr>
        <w:spacing w:line="360" w:lineRule="auto"/>
        <w:rPr>
          <w:rFonts w:asciiTheme="minorEastAsia" w:hAnsiTheme="minorEastAsia"/>
          <w:sz w:val="24"/>
          <w:szCs w:val="24"/>
        </w:rPr>
      </w:pPr>
      <w:r>
        <w:rPr>
          <w:rFonts w:hint="eastAsia" w:asciiTheme="minorEastAsia" w:hAnsiTheme="minorEastAsia"/>
          <w:sz w:val="24"/>
          <w:szCs w:val="24"/>
        </w:rPr>
        <w:t xml:space="preserve">    投资者可能面对的风险包括但不限于：</w:t>
      </w:r>
    </w:p>
    <w:p w14:paraId="19B0A030">
      <w:pPr>
        <w:spacing w:line="360" w:lineRule="auto"/>
        <w:rPr>
          <w:rFonts w:asciiTheme="minorEastAsia" w:hAnsiTheme="minorEastAsia"/>
          <w:b/>
          <w:sz w:val="24"/>
          <w:szCs w:val="24"/>
        </w:rPr>
      </w:pPr>
      <w:r>
        <w:rPr>
          <w:rFonts w:hint="eastAsia" w:asciiTheme="minorEastAsia" w:hAnsiTheme="minorEastAsia"/>
          <w:b/>
          <w:sz w:val="24"/>
          <w:szCs w:val="24"/>
        </w:rPr>
        <w:t xml:space="preserve">    一、经济和市场风险</w:t>
      </w:r>
    </w:p>
    <w:p w14:paraId="490C4DB4">
      <w:pPr>
        <w:spacing w:line="360" w:lineRule="auto"/>
        <w:rPr>
          <w:rFonts w:asciiTheme="minorEastAsia" w:hAnsiTheme="minorEastAsia"/>
          <w:sz w:val="24"/>
          <w:szCs w:val="24"/>
        </w:rPr>
      </w:pPr>
      <w:r>
        <w:rPr>
          <w:rFonts w:hint="eastAsia" w:asciiTheme="minorEastAsia" w:hAnsiTheme="minorEastAsia"/>
          <w:sz w:val="24"/>
          <w:szCs w:val="24"/>
        </w:rPr>
        <w:t xml:space="preserve">    因经济、市场环境变化或国家法律法规、政策变化，可能导致交易标的价值波动，甚至导致产权交易所无法继续为投资者提供交易服务，投资者应自行承担由此产生的损失。</w:t>
      </w:r>
    </w:p>
    <w:p w14:paraId="4C8A3513">
      <w:pPr>
        <w:spacing w:line="360" w:lineRule="auto"/>
        <w:rPr>
          <w:rFonts w:asciiTheme="minorEastAsia" w:hAnsiTheme="minorEastAsia"/>
          <w:b/>
          <w:sz w:val="24"/>
          <w:szCs w:val="24"/>
        </w:rPr>
      </w:pPr>
      <w:r>
        <w:rPr>
          <w:rFonts w:hint="eastAsia" w:asciiTheme="minorEastAsia" w:hAnsiTheme="minorEastAsia"/>
          <w:sz w:val="24"/>
          <w:szCs w:val="24"/>
        </w:rPr>
        <w:t xml:space="preserve">   </w:t>
      </w:r>
      <w:r>
        <w:rPr>
          <w:rFonts w:hint="eastAsia" w:asciiTheme="minorEastAsia" w:hAnsiTheme="minorEastAsia"/>
          <w:b/>
          <w:sz w:val="24"/>
          <w:szCs w:val="24"/>
        </w:rPr>
        <w:t xml:space="preserve"> 二、信息披露风险</w:t>
      </w:r>
    </w:p>
    <w:p w14:paraId="5FAEF41B">
      <w:pPr>
        <w:spacing w:line="360" w:lineRule="auto"/>
        <w:rPr>
          <w:rFonts w:asciiTheme="minorEastAsia" w:hAnsiTheme="minorEastAsia"/>
          <w:sz w:val="24"/>
          <w:szCs w:val="24"/>
        </w:rPr>
      </w:pPr>
      <w:r>
        <w:rPr>
          <w:rFonts w:hint="eastAsia" w:asciiTheme="minorEastAsia" w:hAnsiTheme="minorEastAsia"/>
          <w:sz w:val="24"/>
          <w:szCs w:val="24"/>
        </w:rPr>
        <w:t xml:space="preserve">    产权交易所披露的交易标的相关信息（包括但不限于信息披露公告以及交易标的图片、名称、文字描述及其他相关信息等）系产权交易所根据转让方（或项目方）提供的信息内容进行发布，产权交易所仅对披露信息内容进行齐备性和合规性审核，不保证披露交易标的相关信息的真实性、完整性和准确性，不保证披露</w:t>
      </w:r>
      <w:r>
        <w:rPr>
          <w:rFonts w:hint="eastAsia" w:asciiTheme="minorEastAsia" w:hAnsiTheme="minorEastAsia"/>
          <w:sz w:val="24"/>
          <w:szCs w:val="24"/>
          <w:lang w:val="en-US" w:eastAsia="zh-CN"/>
        </w:rPr>
        <w:t>的</w:t>
      </w:r>
      <w:r>
        <w:rPr>
          <w:rFonts w:hint="eastAsia" w:asciiTheme="minorEastAsia" w:hAnsiTheme="minorEastAsia"/>
          <w:sz w:val="24"/>
          <w:szCs w:val="24"/>
        </w:rPr>
        <w:t>交易标的名称、图片、描述与交易标的实际相符，产权交易所也不对交易标的做任何担保。投资者在决定参与交易活动前，应对交易标的进行充分全面的尽职调查。对于已明示按交易标的现状进行交易的，投资者应当在提交受让申请前，自行勘察交易标的实物。投资者提交受让申请、参与竞买的，即表明认可交易标的现状。投资者应自行承担可能由此产生的损失。</w:t>
      </w:r>
    </w:p>
    <w:p w14:paraId="592982E9">
      <w:pPr>
        <w:spacing w:line="360" w:lineRule="auto"/>
        <w:rPr>
          <w:rFonts w:asciiTheme="minorEastAsia" w:hAnsiTheme="minorEastAsia"/>
          <w:b/>
          <w:sz w:val="24"/>
          <w:szCs w:val="24"/>
        </w:rPr>
      </w:pPr>
      <w:r>
        <w:rPr>
          <w:rFonts w:hint="eastAsia" w:asciiTheme="minorEastAsia" w:hAnsiTheme="minorEastAsia"/>
          <w:sz w:val="24"/>
          <w:szCs w:val="24"/>
        </w:rPr>
        <w:t xml:space="preserve">  </w:t>
      </w:r>
      <w:r>
        <w:rPr>
          <w:rFonts w:hint="eastAsia" w:asciiTheme="minorEastAsia" w:hAnsiTheme="minorEastAsia"/>
          <w:b/>
          <w:sz w:val="24"/>
          <w:szCs w:val="24"/>
        </w:rPr>
        <w:t xml:space="preserve">  三、交易风险</w:t>
      </w:r>
    </w:p>
    <w:p w14:paraId="3BF562D2">
      <w:pPr>
        <w:spacing w:line="360" w:lineRule="auto"/>
        <w:rPr>
          <w:rFonts w:asciiTheme="minorEastAsia" w:hAnsiTheme="minorEastAsia"/>
          <w:sz w:val="24"/>
          <w:szCs w:val="24"/>
        </w:rPr>
      </w:pPr>
      <w:r>
        <w:rPr>
          <w:rFonts w:hint="eastAsia" w:asciiTheme="minorEastAsia" w:hAnsiTheme="minorEastAsia"/>
          <w:sz w:val="24"/>
          <w:szCs w:val="24"/>
        </w:rPr>
        <w:t xml:space="preserve">    投资者在交易过程中，可能面对以下风险，投资者应自行承担由此产生的损失。</w:t>
      </w:r>
    </w:p>
    <w:p w14:paraId="07456881">
      <w:pPr>
        <w:spacing w:line="360" w:lineRule="auto"/>
        <w:rPr>
          <w:rFonts w:asciiTheme="minorEastAsia" w:hAnsiTheme="minorEastAsia"/>
          <w:sz w:val="24"/>
          <w:szCs w:val="24"/>
        </w:rPr>
      </w:pPr>
      <w:r>
        <w:rPr>
          <w:rFonts w:hint="eastAsia" w:asciiTheme="minorEastAsia" w:hAnsiTheme="minorEastAsia"/>
          <w:sz w:val="24"/>
          <w:szCs w:val="24"/>
        </w:rPr>
        <w:t xml:space="preserve">    （一）保证金不予退还风险。投资者未按照交易规则及项目公告等规定参与交易或履行相关义务的，其交纳的保证金可能不予退还或产生其他不利后果。投资者在提交受让申请前，请认真阅读《贵州阳光产权交易所有限公司交易保证金交退有关须知》及项目公告等关于保证金处置的内容。</w:t>
      </w:r>
    </w:p>
    <w:p w14:paraId="171D233C">
      <w:pPr>
        <w:spacing w:line="360" w:lineRule="auto"/>
        <w:rPr>
          <w:rFonts w:asciiTheme="minorEastAsia" w:hAnsiTheme="minorEastAsia"/>
          <w:sz w:val="24"/>
          <w:szCs w:val="24"/>
        </w:rPr>
      </w:pPr>
      <w:r>
        <w:rPr>
          <w:rFonts w:hint="eastAsia" w:asciiTheme="minorEastAsia" w:hAnsiTheme="minorEastAsia"/>
          <w:sz w:val="24"/>
          <w:szCs w:val="24"/>
        </w:rPr>
        <w:t xml:space="preserve">    （二）中止、终结交易风险。交易过程中发生交易标的权属纠纷、法院判决、行政行为、产权交易所指定第三方交易平台网络竞价系统软硬件故障或网络故障等影响交易正常进行的情形，产权交易所可以做出中止、终结交易的决定，投资者自行承担可能产生的损失。</w:t>
      </w:r>
    </w:p>
    <w:p w14:paraId="3D528287">
      <w:pPr>
        <w:spacing w:line="360" w:lineRule="auto"/>
        <w:rPr>
          <w:rFonts w:asciiTheme="minorEastAsia" w:hAnsiTheme="minorEastAsia"/>
          <w:sz w:val="24"/>
          <w:szCs w:val="24"/>
        </w:rPr>
      </w:pPr>
      <w:r>
        <w:rPr>
          <w:rFonts w:hint="eastAsia" w:asciiTheme="minorEastAsia" w:hAnsiTheme="minorEastAsia"/>
          <w:sz w:val="24"/>
          <w:szCs w:val="24"/>
        </w:rPr>
        <w:t xml:space="preserve">    （三）互联网操作风险。通过互联网参与交易，投资者可能存在交易账户信息泄露、身份被仿冒、操作不当、投资者终端软硬件与产权交易所指定第三方交易平台交易系统不兼容、终端设备时间与交易系统时间不符、终端软硬件或网络故障造成交易失败、失误等互联网操作风险。</w:t>
      </w:r>
    </w:p>
    <w:p w14:paraId="64CBEA8F">
      <w:pPr>
        <w:spacing w:line="360" w:lineRule="auto"/>
        <w:rPr>
          <w:rFonts w:asciiTheme="minorEastAsia" w:hAnsiTheme="minorEastAsia"/>
          <w:b/>
          <w:sz w:val="24"/>
          <w:szCs w:val="24"/>
        </w:rPr>
      </w:pPr>
      <w:r>
        <w:rPr>
          <w:rFonts w:hint="eastAsia" w:asciiTheme="minorEastAsia" w:hAnsiTheme="minorEastAsia"/>
          <w:b/>
          <w:sz w:val="24"/>
          <w:szCs w:val="24"/>
        </w:rPr>
        <w:t xml:space="preserve">   四、其他风险</w:t>
      </w:r>
    </w:p>
    <w:p w14:paraId="511CE005">
      <w:pPr>
        <w:spacing w:line="360" w:lineRule="auto"/>
        <w:rPr>
          <w:rFonts w:asciiTheme="minorEastAsia" w:hAnsiTheme="minorEastAsia"/>
          <w:sz w:val="24"/>
          <w:szCs w:val="24"/>
        </w:rPr>
      </w:pPr>
      <w:r>
        <w:rPr>
          <w:rFonts w:hint="eastAsia" w:asciiTheme="minorEastAsia" w:hAnsiTheme="minorEastAsia"/>
          <w:sz w:val="24"/>
          <w:szCs w:val="24"/>
        </w:rPr>
        <w:t xml:space="preserve">   （一）因战争、自然灾害、通讯故障、电力故障、运营服务商网络故障、非法入侵、恶意攻击等原因导致交易标的损毁灭失或产权交易所指定第三方交易平台交易系统异常甚至瘫痪，导致交易终结的，产权交易所不承担任何责任，投资者应自行承担由此可能产生的损失。</w:t>
      </w:r>
    </w:p>
    <w:p w14:paraId="012A6DDE">
      <w:pPr>
        <w:spacing w:line="360" w:lineRule="auto"/>
        <w:rPr>
          <w:rFonts w:asciiTheme="minorEastAsia" w:hAnsiTheme="minorEastAsia"/>
          <w:sz w:val="24"/>
          <w:szCs w:val="24"/>
        </w:rPr>
      </w:pPr>
      <w:r>
        <w:rPr>
          <w:rFonts w:hint="eastAsia" w:asciiTheme="minorEastAsia" w:hAnsiTheme="minorEastAsia"/>
          <w:sz w:val="24"/>
          <w:szCs w:val="24"/>
        </w:rPr>
        <w:t xml:space="preserve">    （二）交易标的成交后，对交易标的交割过程中发生的包括但不限于包装、运输、交付、税费等一切费用、纷争等，均由交易双方依据交易合同、项目公告及产权交易所交易规则，自行承担和处理，产权交易所不承担任何责任。</w:t>
      </w:r>
    </w:p>
    <w:p w14:paraId="26175BBE">
      <w:pPr>
        <w:spacing w:line="360" w:lineRule="auto"/>
        <w:rPr>
          <w:rFonts w:asciiTheme="minorEastAsia" w:hAnsiTheme="minorEastAsia"/>
          <w:sz w:val="24"/>
          <w:szCs w:val="24"/>
        </w:rPr>
      </w:pPr>
      <w:r>
        <w:rPr>
          <w:rFonts w:hint="eastAsia" w:asciiTheme="minorEastAsia" w:hAnsiTheme="minorEastAsia"/>
          <w:sz w:val="24"/>
          <w:szCs w:val="24"/>
        </w:rPr>
        <w:t xml:space="preserve">    （三）投资者因填写信息不真实、不准确或不完整而造成保证金无法退还的，自行承担相应后果。</w:t>
      </w:r>
    </w:p>
    <w:p w14:paraId="6D282465">
      <w:pPr>
        <w:spacing w:line="360" w:lineRule="auto"/>
        <w:rPr>
          <w:rFonts w:asciiTheme="minorEastAsia" w:hAnsiTheme="minorEastAsia"/>
          <w:sz w:val="24"/>
          <w:szCs w:val="24"/>
        </w:rPr>
      </w:pPr>
      <w:r>
        <w:rPr>
          <w:rFonts w:hint="eastAsia" w:asciiTheme="minorEastAsia" w:hAnsiTheme="minorEastAsia"/>
          <w:sz w:val="24"/>
          <w:szCs w:val="24"/>
        </w:rPr>
        <w:t xml:space="preserve">    产权交易所敬告各投资者，应当根据自身的经济条件、心理及风险承受能力谨慎、理性参与交易，树立正确投资理念，确保资金安全。本风险提示函并不能揭示参与产权交易所交易活动的全部风险及情形，投资者务必对此有清醒认识，审慎做出各项交易决策。</w:t>
      </w:r>
    </w:p>
    <w:p w14:paraId="271ACFB2">
      <w:pPr>
        <w:spacing w:line="360" w:lineRule="auto"/>
        <w:rPr>
          <w:rFonts w:asciiTheme="minorEastAsia" w:hAnsiTheme="minorEastAsia"/>
          <w:sz w:val="24"/>
          <w:szCs w:val="24"/>
        </w:rPr>
      </w:pPr>
      <w:r>
        <w:rPr>
          <w:rFonts w:hint="eastAsia" w:asciiTheme="minorEastAsia" w:hAnsiTheme="minorEastAsia"/>
          <w:sz w:val="24"/>
          <w:szCs w:val="24"/>
        </w:rPr>
        <w:t xml:space="preserve">    提交受让申请</w:t>
      </w:r>
      <w:r>
        <w:rPr>
          <w:rFonts w:hint="eastAsia" w:asciiTheme="minorEastAsia" w:hAnsiTheme="minorEastAsia"/>
          <w:sz w:val="24"/>
          <w:szCs w:val="24"/>
          <w:lang w:val="en-US" w:eastAsia="zh-CN"/>
        </w:rPr>
        <w:t>书</w:t>
      </w:r>
      <w:r>
        <w:rPr>
          <w:rFonts w:hint="eastAsia" w:asciiTheme="minorEastAsia" w:hAnsiTheme="minorEastAsia"/>
          <w:sz w:val="24"/>
          <w:szCs w:val="24"/>
        </w:rPr>
        <w:t>后，即表示投资者对本风险提示函已阅知，并以予确认。</w:t>
      </w:r>
    </w:p>
    <w:p w14:paraId="7F596C04">
      <w:pPr>
        <w:spacing w:line="360" w:lineRule="auto"/>
        <w:rPr>
          <w:rFonts w:asciiTheme="minorEastAsia" w:hAnsiTheme="minorEastAsia"/>
          <w:sz w:val="24"/>
          <w:szCs w:val="24"/>
        </w:rPr>
      </w:pPr>
      <w:r>
        <w:rPr>
          <w:rFonts w:asciiTheme="minorEastAsia" w:hAnsiTheme="minorEastAsia"/>
          <w:sz w:val="24"/>
          <w:szCs w:val="24"/>
        </w:rPr>
        <w:tab/>
      </w:r>
      <w:r>
        <w:rPr>
          <w:rFonts w:asciiTheme="minorEastAsia" w:hAnsiTheme="minorEastAsia"/>
          <w:sz w:val="24"/>
          <w:szCs w:val="24"/>
        </w:rPr>
        <w:tab/>
      </w:r>
      <w:r>
        <w:rPr>
          <w:rFonts w:asciiTheme="minorEastAsia" w:hAnsiTheme="minorEastAsia"/>
          <w:sz w:val="24"/>
          <w:szCs w:val="24"/>
        </w:rPr>
        <w:tab/>
      </w:r>
      <w:r>
        <w:rPr>
          <w:rFonts w:asciiTheme="minorEastAsia" w:hAnsiTheme="minorEastAsia"/>
          <w:sz w:val="24"/>
          <w:szCs w:val="24"/>
        </w:rPr>
        <w:tab/>
      </w:r>
    </w:p>
    <w:p w14:paraId="6222EF7C">
      <w:pPr>
        <w:spacing w:line="360" w:lineRule="auto"/>
        <w:rPr>
          <w:rFonts w:hint="eastAsia" w:ascii="宋体" w:hAnsi="宋体" w:eastAsiaTheme="minorEastAsia"/>
          <w:sz w:val="24"/>
          <w:szCs w:val="24"/>
          <w:u w:val="single"/>
          <w:lang w:eastAsia="zh-CN"/>
        </w:rPr>
      </w:pPr>
      <w:r>
        <w:rPr>
          <w:rFonts w:hint="eastAsia" w:ascii="宋体" w:hAnsi="宋体"/>
          <w:sz w:val="24"/>
          <w:szCs w:val="24"/>
        </w:rPr>
        <w:t>项目名称：</w:t>
      </w:r>
      <w:r>
        <w:rPr>
          <w:rFonts w:hint="eastAsia" w:ascii="宋体" w:hAnsi="宋体"/>
          <w:color w:val="0000FF"/>
          <w:sz w:val="24"/>
          <w:szCs w:val="24"/>
          <w:lang w:val="en-US" w:eastAsia="zh-CN"/>
        </w:rPr>
        <w:t xml:space="preserve"> </w:t>
      </w:r>
    </w:p>
    <w:p w14:paraId="3DB3A866">
      <w:pPr>
        <w:spacing w:line="360" w:lineRule="auto"/>
        <w:ind w:left="3780" w:right="480" w:hanging="3780" w:hangingChars="1575"/>
        <w:rPr>
          <w:rFonts w:hint="default" w:ascii="宋体" w:hAnsi="宋体" w:eastAsiaTheme="minorEastAsia"/>
          <w:sz w:val="24"/>
          <w:szCs w:val="24"/>
          <w:lang w:val="en-US" w:eastAsia="zh-CN"/>
        </w:rPr>
      </w:pPr>
      <w:r>
        <w:rPr>
          <w:rFonts w:hint="eastAsia" w:ascii="宋体" w:hAnsi="宋体"/>
          <w:sz w:val="24"/>
          <w:szCs w:val="24"/>
        </w:rPr>
        <w:t>受让</w:t>
      </w:r>
      <w:r>
        <w:rPr>
          <w:rFonts w:hint="eastAsia" w:ascii="宋体" w:hAnsi="宋体"/>
          <w:sz w:val="24"/>
          <w:szCs w:val="24"/>
          <w:lang w:val="en-US" w:eastAsia="zh-CN"/>
        </w:rPr>
        <w:t>申请</w:t>
      </w:r>
      <w:r>
        <w:rPr>
          <w:rFonts w:hint="eastAsia" w:ascii="宋体" w:hAnsi="宋体"/>
          <w:sz w:val="24"/>
          <w:szCs w:val="24"/>
        </w:rPr>
        <w:t>方：</w:t>
      </w:r>
      <w:r>
        <w:rPr>
          <w:rFonts w:hint="eastAsia" w:ascii="宋体" w:hAnsi="宋体"/>
          <w:sz w:val="24"/>
          <w:szCs w:val="24"/>
          <w:lang w:val="en-US" w:eastAsia="zh-CN"/>
        </w:rPr>
        <w:t xml:space="preserve"> </w:t>
      </w:r>
    </w:p>
    <w:p w14:paraId="172B938C">
      <w:pPr>
        <w:spacing w:line="360" w:lineRule="auto"/>
        <w:ind w:left="3780" w:right="480" w:hanging="3780" w:hangingChars="1575"/>
        <w:rPr>
          <w:rFonts w:ascii="宋体" w:hAnsi="宋体"/>
          <w:sz w:val="24"/>
          <w:szCs w:val="24"/>
        </w:rPr>
      </w:pPr>
      <w:r>
        <w:rPr>
          <w:rFonts w:hint="eastAsia" w:ascii="宋体" w:hAnsi="宋体"/>
          <w:sz w:val="24"/>
          <w:szCs w:val="24"/>
          <w:lang w:val="en-US" w:eastAsia="zh-CN"/>
        </w:rPr>
        <w:t xml:space="preserve"> </w:t>
      </w:r>
      <w:bookmarkStart w:id="0" w:name="_GoBack"/>
      <w:bookmarkEnd w:id="0"/>
      <w:r>
        <w:rPr>
          <w:rFonts w:hint="eastAsia" w:ascii="宋体" w:hAnsi="宋体"/>
          <w:sz w:val="24"/>
          <w:szCs w:val="24"/>
        </w:rPr>
        <w:t xml:space="preserve">                                               签收时间：</w:t>
      </w:r>
    </w:p>
    <w:sectPr>
      <w:footerReference r:id="rId3" w:type="default"/>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00A36">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A20980F">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NjZGNiYzk2YTRhNjM0YTczOTVlY2QwM2YwNDQwZjMifQ=="/>
  </w:docVars>
  <w:rsids>
    <w:rsidRoot w:val="00B23EDC"/>
    <w:rsid w:val="00001402"/>
    <w:rsid w:val="003B5CA0"/>
    <w:rsid w:val="004053E5"/>
    <w:rsid w:val="004A4F4E"/>
    <w:rsid w:val="008516E9"/>
    <w:rsid w:val="008A5498"/>
    <w:rsid w:val="008B587E"/>
    <w:rsid w:val="009642C6"/>
    <w:rsid w:val="00B23EDC"/>
    <w:rsid w:val="00D82522"/>
    <w:rsid w:val="00DE7B42"/>
    <w:rsid w:val="00E24DE2"/>
    <w:rsid w:val="00F3018D"/>
    <w:rsid w:val="00F50894"/>
    <w:rsid w:val="00F6177D"/>
    <w:rsid w:val="087254C3"/>
    <w:rsid w:val="155D6B66"/>
    <w:rsid w:val="19CB5514"/>
    <w:rsid w:val="259F2538"/>
    <w:rsid w:val="40A7345C"/>
    <w:rsid w:val="453A1FFD"/>
    <w:rsid w:val="52EE738F"/>
    <w:rsid w:val="567F7A29"/>
    <w:rsid w:val="5BF93B1E"/>
    <w:rsid w:val="65021510"/>
    <w:rsid w:val="6C072D24"/>
    <w:rsid w:val="72375DC6"/>
    <w:rsid w:val="7E7A0ECD"/>
    <w:rsid w:val="7F547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ITSK.com</Company>
  <Pages>2</Pages>
  <Words>1581</Words>
  <Characters>1581</Characters>
  <Lines>12</Lines>
  <Paragraphs>3</Paragraphs>
  <TotalTime>5</TotalTime>
  <ScaleCrop>false</ScaleCrop>
  <LinksUpToDate>false</LinksUpToDate>
  <CharactersWithSpaces>1701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2019-09-17T05:26:00Z</dcterms:created>
  <dc:creator>Administrator</dc:creator>
  <cp:lastModifiedBy>择三川</cp:lastModifiedBy>
  <dcterms:modified xsi:type="dcterms:W3CDTF">2025-09-30T03:29:16Z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C17419C6BFEA45908BF06DB585F061D0</vt:lpwstr>
  </property>
  <property fmtid="{D5CDD505-2E9C-101B-9397-08002B2CF9AE}" pid="4" name="KSOTemplateDocerSaveRecord">
    <vt:lpwstr>eyJoZGlkIjoiOTNjZGNiYzk2YTRhNjM0YTczOTVlY2QwM2YwNDQwZjMiLCJ1c2VySWQiOiI0NTgxNTE1ODQifQ==</vt:lpwstr>
  </property>
</Properties>
</file>